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66A3" w14:textId="65F7D810" w:rsidR="00CE3AFA" w:rsidRPr="00CE3AFA" w:rsidRDefault="00CE3AFA" w:rsidP="5B00BC24">
      <w:pPr>
        <w:spacing w:before="120" w:after="120" w:line="360" w:lineRule="auto"/>
        <w:rPr>
          <w:rFonts w:cs="Arial"/>
          <w:sz w:val="28"/>
          <w:szCs w:val="28"/>
        </w:rPr>
      </w:pPr>
      <w:r w:rsidRPr="5B00BC24">
        <w:rPr>
          <w:rFonts w:cs="Arial"/>
          <w:sz w:val="28"/>
          <w:szCs w:val="28"/>
        </w:rPr>
        <w:t>06</w:t>
      </w:r>
      <w:r>
        <w:tab/>
      </w:r>
      <w:r w:rsidRPr="5B00BC24">
        <w:rPr>
          <w:rFonts w:cs="Arial"/>
          <w:sz w:val="28"/>
          <w:szCs w:val="28"/>
        </w:rPr>
        <w:t xml:space="preserve">Safeguarding children, young people and vulnerable </w:t>
      </w:r>
      <w:r w:rsidR="4D22F90D" w:rsidRPr="5B00BC24">
        <w:rPr>
          <w:rFonts w:cs="Arial"/>
          <w:sz w:val="28"/>
          <w:szCs w:val="28"/>
        </w:rPr>
        <w:t>adults'</w:t>
      </w:r>
      <w:r w:rsidRPr="5B00BC24">
        <w:rPr>
          <w:rFonts w:cs="Arial"/>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27D6EB95" w:rsidR="00897B7F" w:rsidRPr="0098373C" w:rsidRDefault="00897B7F" w:rsidP="00CB3950">
      <w:pPr>
        <w:spacing w:before="120" w:after="120" w:line="360" w:lineRule="auto"/>
        <w:rPr>
          <w:rFonts w:cs="Arial"/>
          <w:szCs w:val="22"/>
        </w:rPr>
      </w:pPr>
      <w:r w:rsidRPr="0098373C">
        <w:rPr>
          <w:rFonts w:cs="Arial"/>
          <w:szCs w:val="22"/>
        </w:rPr>
        <w:t>Staff</w:t>
      </w:r>
      <w:r w:rsidR="00930D9F">
        <w:rPr>
          <w:rFonts w:cs="Arial"/>
          <w:szCs w:val="22"/>
        </w:rPr>
        <w:t xml:space="preserve"> </w:t>
      </w:r>
      <w:r w:rsidR="00EE3971">
        <w:rPr>
          <w:rFonts w:cs="Arial"/>
          <w:szCs w:val="22"/>
        </w:rPr>
        <w:t>taking</w:t>
      </w:r>
      <w:r w:rsidRPr="0098373C">
        <w:rPr>
          <w:rFonts w:cs="Arial"/>
          <w:szCs w:val="22"/>
        </w:rPr>
        <w:t xml:space="preserve">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35D40721"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very 4-6</w:t>
      </w:r>
      <w:r w:rsidR="00983BF9" w:rsidRPr="00CB3950">
        <w:rPr>
          <w:rFonts w:ascii="Arial" w:hAnsi="Arial" w:cs="Arial"/>
          <w:sz w:val="22"/>
          <w:szCs w:val="22"/>
        </w:rPr>
        <w:t xml:space="preserve"> weeks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may be less frequent but at least every 6-8 weeks</w:t>
      </w:r>
      <w:r w:rsidR="00530AC5">
        <w:rPr>
          <w:rFonts w:ascii="Arial" w:hAnsi="Arial" w:cs="Arial"/>
          <w:sz w:val="22"/>
          <w:szCs w:val="22"/>
        </w:rPr>
        <w:t>.</w:t>
      </w:r>
    </w:p>
    <w:p w14:paraId="5EBC6C32" w14:textId="1F903EBE" w:rsidR="00056A46" w:rsidRPr="00CB3950"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ed by the setting manager or deputy</w:t>
      </w:r>
      <w:r w:rsidR="00CC3ADA" w:rsidRPr="00CB3950">
        <w:rPr>
          <w:rFonts w:ascii="Arial" w:hAnsi="Arial" w:cs="Arial"/>
          <w:color w:val="000000"/>
          <w:sz w:val="22"/>
          <w:szCs w:val="22"/>
        </w:rPr>
        <w:t>.</w:t>
      </w:r>
    </w:p>
    <w:p w14:paraId="29695438" w14:textId="22224F09"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r w:rsidR="00530AC5">
        <w:rPr>
          <w:rFonts w:ascii="Arial" w:hAnsi="Arial" w:cs="Arial"/>
          <w:sz w:val="22"/>
          <w:szCs w:val="22"/>
        </w:rPr>
        <w:t>.</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CB3950" w:rsidRDefault="00056A46" w:rsidP="4B39799A">
      <w:pPr>
        <w:pStyle w:val="ColorfulList-Accent11"/>
        <w:numPr>
          <w:ilvl w:val="0"/>
          <w:numId w:val="40"/>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67B5D963" w14:textId="0EB18CE8" w:rsidR="00930D9F" w:rsidRPr="00930D9F" w:rsidRDefault="00EB3CDE" w:rsidP="00CD24D5">
      <w:pPr>
        <w:pStyle w:val="ColorfulList-Accent11"/>
        <w:numPr>
          <w:ilvl w:val="0"/>
          <w:numId w:val="20"/>
        </w:numPr>
        <w:spacing w:before="120" w:after="120" w:line="360" w:lineRule="auto"/>
        <w:ind w:left="0"/>
        <w:contextualSpacing w:val="0"/>
        <w:rPr>
          <w:rFonts w:ascii="Arial" w:hAnsi="Arial" w:cs="Arial"/>
          <w:b/>
          <w:sz w:val="22"/>
          <w:szCs w:val="22"/>
        </w:rPr>
      </w:pPr>
      <w:r w:rsidRPr="00930D9F">
        <w:rPr>
          <w:rFonts w:ascii="Arial" w:hAnsi="Arial" w:cs="Arial"/>
          <w:sz w:val="22"/>
          <w:szCs w:val="22"/>
        </w:rPr>
        <w:t>S</w:t>
      </w:r>
      <w:r w:rsidR="00056A46" w:rsidRPr="00930D9F">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930D9F">
        <w:rPr>
          <w:rFonts w:ascii="Arial" w:hAnsi="Arial" w:cs="Arial"/>
          <w:sz w:val="22"/>
          <w:szCs w:val="22"/>
        </w:rPr>
        <w:t>ployment</w:t>
      </w:r>
      <w:r w:rsidR="002E62AE" w:rsidRPr="00930D9F">
        <w:rPr>
          <w:rFonts w:ascii="Arial" w:hAnsi="Arial" w:cs="Arial"/>
          <w:sz w:val="22"/>
          <w:szCs w:val="22"/>
        </w:rPr>
        <w:t>. N</w:t>
      </w:r>
      <w:r w:rsidR="00056A46" w:rsidRPr="00930D9F">
        <w:rPr>
          <w:rFonts w:ascii="Arial" w:hAnsi="Arial" w:cs="Arial"/>
          <w:sz w:val="22"/>
          <w:szCs w:val="22"/>
        </w:rPr>
        <w:t>ew information is referr</w:t>
      </w:r>
      <w:r w:rsidRPr="00930D9F">
        <w:rPr>
          <w:rFonts w:ascii="Arial" w:hAnsi="Arial" w:cs="Arial"/>
          <w:sz w:val="22"/>
          <w:szCs w:val="22"/>
        </w:rPr>
        <w:t xml:space="preserve">ed immediately to </w:t>
      </w:r>
      <w:r w:rsidR="00930D9F">
        <w:rPr>
          <w:rFonts w:ascii="Arial" w:hAnsi="Arial" w:cs="Arial"/>
          <w:sz w:val="22"/>
          <w:szCs w:val="22"/>
        </w:rPr>
        <w:t>a director.</w:t>
      </w:r>
    </w:p>
    <w:p w14:paraId="0E80E00D" w14:textId="34A2E19B" w:rsidR="00056A46" w:rsidRPr="00930D9F" w:rsidRDefault="00056A46" w:rsidP="00930D9F">
      <w:pPr>
        <w:pStyle w:val="ColorfulList-Accent11"/>
        <w:spacing w:before="120" w:after="120" w:line="360" w:lineRule="auto"/>
        <w:ind w:left="0"/>
        <w:contextualSpacing w:val="0"/>
        <w:rPr>
          <w:rFonts w:ascii="Arial" w:hAnsi="Arial" w:cs="Arial"/>
          <w:b/>
          <w:sz w:val="22"/>
          <w:szCs w:val="22"/>
        </w:rPr>
      </w:pPr>
      <w:r w:rsidRPr="00930D9F">
        <w:rPr>
          <w:rFonts w:ascii="Arial" w:hAnsi="Arial" w:cs="Arial"/>
          <w:b/>
          <w:sz w:val="22"/>
          <w:szCs w:val="22"/>
        </w:rPr>
        <w:t>Recording</w:t>
      </w:r>
    </w:p>
    <w:p w14:paraId="4A23A818" w14:textId="2FB7EC5E"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03A1855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lastRenderedPageBreak/>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within 4-6 weeks of it happening and disagreements over recorded content must be minuted.</w:t>
      </w:r>
    </w:p>
    <w:p w14:paraId="029EEC86" w14:textId="485357FF"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56EB5F73"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 xml:space="preserve">(if not </w:t>
      </w:r>
      <w:r w:rsidRPr="0085171F">
        <w:rPr>
          <w:rFonts w:ascii="Arial" w:hAnsi="Arial" w:cs="Arial"/>
          <w:sz w:val="22"/>
          <w:szCs w:val="22"/>
        </w:rPr>
        <w:t>the designated</w:t>
      </w:r>
      <w:r w:rsidRPr="0098373C">
        <w:rPr>
          <w:rFonts w:ascii="Arial" w:hAnsi="Arial" w:cs="Arial"/>
          <w:sz w:val="22"/>
          <w:szCs w:val="22"/>
        </w:rPr>
        <w:t xml:space="preserve"> </w:t>
      </w:r>
      <w:r w:rsidR="00924DE9">
        <w:rPr>
          <w:rFonts w:ascii="Arial" w:hAnsi="Arial" w:cs="Arial"/>
          <w:sz w:val="22"/>
          <w:szCs w:val="22"/>
        </w:rPr>
        <w:t>safeguarding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 xml:space="preserve">designated </w:t>
      </w:r>
      <w:r w:rsidR="00924DE9">
        <w:rPr>
          <w:rFonts w:ascii="Arial" w:hAnsi="Arial" w:cs="Arial"/>
          <w:sz w:val="22"/>
          <w:szCs w:val="22"/>
        </w:rPr>
        <w:t>safeguarding lead</w:t>
      </w:r>
      <w:r w:rsidR="00C927AB" w:rsidRPr="00CB3950">
        <w:rPr>
          <w:rFonts w:ascii="Arial" w:hAnsi="Arial" w:cs="Arial"/>
          <w:sz w:val="22"/>
          <w:szCs w:val="22"/>
        </w:rPr>
        <w:t xml:space="preserve"> is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77777777" w:rsidR="00152F09" w:rsidRPr="00CB3950" w:rsidRDefault="00056A46" w:rsidP="00CB3950">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5EB76F53" w:rsidR="005C3806" w:rsidRDefault="002732FF" w:rsidP="0098373C">
      <w:pPr>
        <w:spacing w:before="120" w:after="120" w:line="360" w:lineRule="auto"/>
        <w:rPr>
          <w:rFonts w:cs="Arial"/>
          <w:bCs/>
          <w:szCs w:val="22"/>
        </w:rPr>
      </w:pPr>
      <w:hyperlink r:id="rId11" w:anchor="/users/@self/catalogues/1700/courses/908834/description" w:history="1">
        <w:r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23FBD47E" w:rsidR="00640F79" w:rsidRDefault="00640F79" w:rsidP="0098373C">
      <w:pPr>
        <w:spacing w:before="120" w:after="120" w:line="360" w:lineRule="auto"/>
        <w:rPr>
          <w:rFonts w:cs="Arial"/>
          <w:bCs/>
          <w:szCs w:val="22"/>
        </w:rPr>
      </w:pPr>
      <w:hyperlink r:id="rId12" w:anchor="/users/@self/catalogues/1700/courses/1685760/description" w:history="1">
        <w:r w:rsidRPr="001E1B9E">
          <w:rPr>
            <w:rStyle w:val="Hyperlink"/>
            <w:rFonts w:cs="Arial"/>
            <w:bCs/>
            <w:szCs w:val="22"/>
          </w:rPr>
          <w:t>People Management in the Early Years</w:t>
        </w:r>
      </w:hyperlink>
      <w:r>
        <w:rPr>
          <w:rFonts w:cs="Arial"/>
          <w:bCs/>
          <w:szCs w:val="22"/>
        </w:rPr>
        <w:t xml:space="preserve"> (Alliance </w:t>
      </w:r>
      <w:r w:rsidR="00466049">
        <w:rPr>
          <w:rFonts w:cs="Arial"/>
          <w:bCs/>
          <w:szCs w:val="22"/>
        </w:rPr>
        <w:t>Publication</w:t>
      </w:r>
      <w:r>
        <w:rPr>
          <w:rFonts w:cs="Arial"/>
          <w:bCs/>
          <w:szCs w:val="22"/>
        </w:rPr>
        <w:t>)</w:t>
      </w:r>
    </w:p>
    <w:p w14:paraId="0E27C967" w14:textId="77777777" w:rsidR="008E7791" w:rsidRDefault="008E7791" w:rsidP="0098373C">
      <w:pPr>
        <w:spacing w:before="120" w:after="120" w:line="360" w:lineRule="auto"/>
        <w:rPr>
          <w:rFonts w:cs="Arial"/>
          <w:bCs/>
          <w:szCs w:val="22"/>
        </w:rPr>
      </w:pPr>
    </w:p>
    <w:p w14:paraId="15D8C512" w14:textId="04910E0C" w:rsidR="008E7791" w:rsidRPr="008E7791" w:rsidRDefault="008E7791" w:rsidP="0098373C">
      <w:pPr>
        <w:spacing w:before="120" w:after="120" w:line="360" w:lineRule="auto"/>
        <w:rPr>
          <w:rFonts w:cs="Arial"/>
          <w:szCs w:val="22"/>
        </w:rPr>
      </w:pPr>
      <w:r>
        <w:rPr>
          <w:rFonts w:cs="Arial"/>
          <w:szCs w:val="22"/>
        </w:rPr>
        <w:t xml:space="preserve">Signed: </w:t>
      </w:r>
      <w:proofErr w:type="spellStart"/>
      <w:proofErr w:type="gramStart"/>
      <w:r>
        <w:rPr>
          <w:rFonts w:cs="Arial"/>
          <w:szCs w:val="22"/>
        </w:rPr>
        <w:t>L.Carey</w:t>
      </w:r>
      <w:proofErr w:type="spellEnd"/>
      <w:proofErr w:type="gramEnd"/>
      <w:r>
        <w:rPr>
          <w:rFonts w:cs="Arial"/>
          <w:szCs w:val="22"/>
        </w:rPr>
        <w:t xml:space="preserve">                  Dated: 05/01/2026</w:t>
      </w:r>
    </w:p>
    <w:sectPr w:rsidR="008E7791" w:rsidRPr="008E7791" w:rsidSect="00E61F36">
      <w:headerReference w:type="default" r:id="rId13"/>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BC8D" w14:textId="77777777" w:rsidR="000F51F3" w:rsidRDefault="000F51F3">
      <w:r>
        <w:separator/>
      </w:r>
    </w:p>
  </w:endnote>
  <w:endnote w:type="continuationSeparator" w:id="0">
    <w:p w14:paraId="7D89C21C" w14:textId="77777777" w:rsidR="000F51F3" w:rsidRDefault="000F51F3">
      <w:r>
        <w:continuationSeparator/>
      </w:r>
    </w:p>
  </w:endnote>
  <w:endnote w:type="continuationNotice" w:id="1">
    <w:p w14:paraId="003DFB3B" w14:textId="77777777" w:rsidR="000F51F3" w:rsidRDefault="000F5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126CDFD7" w:rsidR="005205E4" w:rsidRPr="00773EAA" w:rsidRDefault="5B00BC24" w:rsidP="00773EAA">
    <w:pPr>
      <w:pStyle w:val="Footer"/>
    </w:pPr>
    <w:r w:rsidRPr="5B00BC24">
      <w:rPr>
        <w:rFonts w:cs="Arial"/>
        <w:i/>
        <w:iCs/>
        <w:sz w:val="20"/>
      </w:rPr>
      <w:t>Policies &amp; Procedures for the EYFS 202</w:t>
    </w:r>
    <w:r w:rsidRPr="5B00BC24">
      <w:rPr>
        <w:rFonts w:cs="Arial"/>
        <w:i/>
        <w:iCs/>
        <w:color w:val="FF0000"/>
        <w:sz w:val="20"/>
      </w:rPr>
      <w:t>5</w:t>
    </w:r>
    <w:r w:rsidRPr="5B00BC24">
      <w:rPr>
        <w:rFonts w:cs="Arial"/>
        <w:i/>
        <w:iCs/>
        <w:sz w:val="20"/>
      </w:rPr>
      <w:t>/2</w:t>
    </w:r>
    <w:r w:rsidRPr="5B00BC24">
      <w:rPr>
        <w:rFonts w:cs="Arial"/>
        <w:i/>
        <w:iCs/>
        <w:color w:val="FF0000"/>
        <w:sz w:val="20"/>
      </w:rPr>
      <w:t>6</w:t>
    </w:r>
    <w:r w:rsidRPr="5B00BC24">
      <w:rPr>
        <w:rFonts w:cs="Arial"/>
        <w:i/>
        <w:iCs/>
        <w:sz w:val="20"/>
      </w:rPr>
      <w:t> (Early Years Alliance 202</w:t>
    </w:r>
    <w:r w:rsidRPr="5B00BC24">
      <w:rPr>
        <w:rFonts w:cs="Arial"/>
        <w:i/>
        <w:iCs/>
        <w:color w:val="FF0000"/>
        <w:sz w:val="20"/>
      </w:rPr>
      <w:t>5</w:t>
    </w:r>
    <w:r w:rsidRPr="5B00BC24">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5B3F" w14:textId="77777777" w:rsidR="000F51F3" w:rsidRDefault="000F51F3">
      <w:r>
        <w:separator/>
      </w:r>
    </w:p>
  </w:footnote>
  <w:footnote w:type="continuationSeparator" w:id="0">
    <w:p w14:paraId="3B54838B" w14:textId="77777777" w:rsidR="000F51F3" w:rsidRDefault="000F51F3">
      <w:r>
        <w:continuationSeparator/>
      </w:r>
    </w:p>
  </w:footnote>
  <w:footnote w:type="continuationNotice" w:id="1">
    <w:p w14:paraId="2CB1CC20" w14:textId="77777777" w:rsidR="000F51F3" w:rsidRDefault="000F5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D8DF90" w14:paraId="7DD4295C" w14:textId="77777777" w:rsidTr="5AD8DF90">
      <w:trPr>
        <w:trHeight w:val="300"/>
      </w:trPr>
      <w:tc>
        <w:tcPr>
          <w:tcW w:w="3485" w:type="dxa"/>
        </w:tcPr>
        <w:p w14:paraId="0EE6D7BF" w14:textId="4ED8ED7C" w:rsidR="5AD8DF90" w:rsidRDefault="5AD8DF90" w:rsidP="5AD8DF90">
          <w:pPr>
            <w:pStyle w:val="Header"/>
            <w:ind w:left="-115"/>
          </w:pPr>
        </w:p>
      </w:tc>
      <w:tc>
        <w:tcPr>
          <w:tcW w:w="3485" w:type="dxa"/>
        </w:tcPr>
        <w:p w14:paraId="4452EC4B" w14:textId="640DA5BF" w:rsidR="5AD8DF90" w:rsidRDefault="00930D9F" w:rsidP="5AD8DF90">
          <w:pPr>
            <w:pStyle w:val="Header"/>
            <w:jc w:val="center"/>
          </w:pPr>
          <w:r>
            <w:rPr>
              <w:noProof/>
            </w:rPr>
            <w:drawing>
              <wp:inline distT="0" distB="0" distL="0" distR="0" wp14:anchorId="7A9C716A" wp14:editId="79552178">
                <wp:extent cx="2075815" cy="1061720"/>
                <wp:effectExtent l="0" t="0" r="0" b="5080"/>
                <wp:docPr id="199697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0966" name="Picture 1996970966"/>
                        <pic:cNvPicPr/>
                      </pic:nvPicPr>
                      <pic:blipFill>
                        <a:blip r:embed="rId1"/>
                        <a:stretch>
                          <a:fillRect/>
                        </a:stretch>
                      </pic:blipFill>
                      <pic:spPr>
                        <a:xfrm>
                          <a:off x="0" y="0"/>
                          <a:ext cx="2075815" cy="1061720"/>
                        </a:xfrm>
                        <a:prstGeom prst="rect">
                          <a:avLst/>
                        </a:prstGeom>
                      </pic:spPr>
                    </pic:pic>
                  </a:graphicData>
                </a:graphic>
              </wp:inline>
            </w:drawing>
          </w:r>
        </w:p>
      </w:tc>
      <w:tc>
        <w:tcPr>
          <w:tcW w:w="3485" w:type="dxa"/>
        </w:tcPr>
        <w:p w14:paraId="77D22FF2" w14:textId="2CFD0468" w:rsidR="5AD8DF90" w:rsidRDefault="5AD8DF90" w:rsidP="5AD8DF90">
          <w:pPr>
            <w:pStyle w:val="Header"/>
            <w:ind w:right="-115"/>
            <w:jc w:val="right"/>
          </w:pPr>
        </w:p>
      </w:tc>
    </w:tr>
  </w:tbl>
  <w:p w14:paraId="5FB52E19" w14:textId="3D1BEC3B" w:rsidR="5AD8DF90" w:rsidRDefault="5AD8DF90" w:rsidP="5AD8D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1F3"/>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30A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57434"/>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791"/>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0D9F"/>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4E79"/>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3688</Characters>
  <Application>Microsoft Office Word</Application>
  <DocSecurity>0</DocSecurity>
  <Lines>30</Lines>
  <Paragraphs>8</Paragraphs>
  <ScaleCrop>false</ScaleCrop>
  <Company>Hewlett-Packard Company</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Lily Davis</cp:lastModifiedBy>
  <cp:revision>16</cp:revision>
  <cp:lastPrinted>2019-04-17T19:39:00Z</cp:lastPrinted>
  <dcterms:created xsi:type="dcterms:W3CDTF">2024-01-03T13:02:00Z</dcterms:created>
  <dcterms:modified xsi:type="dcterms:W3CDTF">2026-04-11T16:28:00Z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