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F84602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 xml:space="preserve">speak directly to the child, explaining what they are doing as appropriate to the child’s age </w:t>
      </w:r>
      <w:r w:rsidR="006A221C" w:rsidRPr="00F84602">
        <w:rPr>
          <w:rFonts w:ascii="Arial" w:hAnsi="Arial" w:cs="Arial"/>
          <w:snapToGrid w:val="0"/>
          <w:color w:val="000000" w:themeColor="text1"/>
          <w:sz w:val="22"/>
          <w:szCs w:val="22"/>
        </w:rPr>
        <w:t>and level of comprehension.</w:t>
      </w:r>
    </w:p>
    <w:p w14:paraId="4AA170CA" w14:textId="59940CFC" w:rsidR="4BA8B964" w:rsidRPr="00F84602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84602">
        <w:rPr>
          <w:rFonts w:ascii="Arial" w:hAnsi="Arial" w:cs="Arial"/>
          <w:color w:val="000000" w:themeColor="text1"/>
          <w:sz w:val="22"/>
          <w:szCs w:val="22"/>
        </w:rPr>
        <w:t>Children’s privacy is considered and balanced with safeguarding and support needs when changing clothing, nappies and to</w:t>
      </w:r>
      <w:r w:rsidR="6CF3FF48" w:rsidRPr="00F84602">
        <w:rPr>
          <w:rFonts w:ascii="Arial" w:hAnsi="Arial" w:cs="Arial"/>
          <w:color w:val="000000" w:themeColor="text1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p w14:paraId="227ED656" w14:textId="77777777" w:rsidR="006B794C" w:rsidRDefault="006B794C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D1388C9" w14:textId="77777777" w:rsidR="006B794C" w:rsidRDefault="006B794C" w:rsidP="006B794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259EEDBF" w14:textId="77777777" w:rsidR="006B794C" w:rsidRPr="00361C62" w:rsidRDefault="006B794C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6B794C" w:rsidRPr="00361C62" w:rsidSect="00090667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706E" w14:textId="77777777" w:rsidR="00755B30" w:rsidRDefault="00755B30" w:rsidP="00831C42">
      <w:r>
        <w:separator/>
      </w:r>
    </w:p>
  </w:endnote>
  <w:endnote w:type="continuationSeparator" w:id="0">
    <w:p w14:paraId="43232A68" w14:textId="77777777" w:rsidR="00755B30" w:rsidRDefault="00755B3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FA21994" w:rsidR="00A07AC9" w:rsidRPr="00A93258" w:rsidRDefault="3E090161" w:rsidP="3E090161">
    <w:pPr>
      <w:pStyle w:val="Footer"/>
      <w:rPr>
        <w:rFonts w:ascii="Arial" w:hAnsi="Arial" w:cs="Arial"/>
        <w:i/>
        <w:iCs/>
        <w:sz w:val="20"/>
      </w:rPr>
    </w:pPr>
    <w:r w:rsidRPr="3E09016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68EEC" w14:textId="77777777" w:rsidR="00755B30" w:rsidRDefault="00755B30" w:rsidP="00831C42">
      <w:r>
        <w:separator/>
      </w:r>
    </w:p>
  </w:footnote>
  <w:footnote w:type="continuationSeparator" w:id="0">
    <w:p w14:paraId="67C1E834" w14:textId="77777777" w:rsidR="00755B30" w:rsidRDefault="00755B3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42941FF0" w:rsidR="3E090161" w:rsidRDefault="00F84602" w:rsidP="3E09016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79A11C7" wp14:editId="78B71C49">
                <wp:extent cx="2075815" cy="1061720"/>
                <wp:effectExtent l="0" t="0" r="0" b="5080"/>
                <wp:docPr id="4655974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597498" name="Picture 46559749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30AA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B794C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55B30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4E79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235C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4602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13</cp:revision>
  <cp:lastPrinted>2011-08-21T10:18:00Z</cp:lastPrinted>
  <dcterms:created xsi:type="dcterms:W3CDTF">2024-01-02T15:59:00Z</dcterms:created>
  <dcterms:modified xsi:type="dcterms:W3CDTF">2026-04-11T16:24:00Z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