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0A4B543E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B37DCB">
        <w:rPr>
          <w:b w:val="0"/>
          <w:i/>
          <w:iCs/>
          <w:sz w:val="22"/>
          <w:szCs w:val="22"/>
        </w:rPr>
        <w:t>The Rainbow Pre-Schools</w:t>
      </w:r>
      <w:r w:rsidRPr="0049232B">
        <w:rPr>
          <w:b w:val="0"/>
          <w:sz w:val="22"/>
          <w:szCs w:val="22"/>
        </w:rPr>
        <w:t xml:space="preserve"> </w:t>
      </w:r>
      <w:r w:rsidR="00B37DCB">
        <w:rPr>
          <w:b w:val="0"/>
          <w:sz w:val="22"/>
          <w:szCs w:val="22"/>
        </w:rPr>
        <w:t>on the 5</w:t>
      </w:r>
      <w:r w:rsidR="00B37DCB" w:rsidRPr="00B37DCB">
        <w:rPr>
          <w:b w:val="0"/>
          <w:sz w:val="22"/>
          <w:szCs w:val="22"/>
          <w:vertAlign w:val="superscript"/>
        </w:rPr>
        <w:t>th</w:t>
      </w:r>
      <w:r w:rsidR="00B37DCB">
        <w:rPr>
          <w:b w:val="0"/>
          <w:sz w:val="22"/>
          <w:szCs w:val="22"/>
        </w:rPr>
        <w:t xml:space="preserve"> January 2026.</w:t>
      </w:r>
    </w:p>
    <w:p w14:paraId="16EBB4EA" w14:textId="151E8E7A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1F0A6EEE" w:rsidR="009D08F3" w:rsidRPr="005B3DC7" w:rsidRDefault="00B37DCB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37DCB">
        <w:rPr>
          <w:rFonts w:ascii="Arial" w:hAnsi="Arial" w:cs="Arial"/>
          <w:color w:val="000000" w:themeColor="text1"/>
          <w:sz w:val="22"/>
          <w:szCs w:val="22"/>
        </w:rPr>
        <w:t xml:space="preserve">The Rainbow Pre-schools are </w:t>
      </w:r>
      <w:r w:rsidR="00CC17EE" w:rsidRPr="00B37DCB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D08F3" w:rsidRPr="00B37DCB">
        <w:rPr>
          <w:rFonts w:ascii="Arial" w:hAnsi="Arial" w:cs="Arial"/>
          <w:color w:val="000000" w:themeColor="text1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p w14:paraId="3C073EA3" w14:textId="77777777" w:rsidR="005D1149" w:rsidRDefault="005D1149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78FF906" w14:textId="77777777" w:rsidR="005D1149" w:rsidRDefault="005D1149" w:rsidP="005D114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3DD2B5A9" w14:textId="77777777" w:rsidR="005D1149" w:rsidRPr="007035B0" w:rsidRDefault="005D1149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D1149" w:rsidRPr="007035B0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63F6" w14:textId="77777777" w:rsidR="00C908AC" w:rsidRDefault="00C908AC" w:rsidP="00E07382">
      <w:r>
        <w:separator/>
      </w:r>
    </w:p>
  </w:endnote>
  <w:endnote w:type="continuationSeparator" w:id="0">
    <w:p w14:paraId="61A552FE" w14:textId="77777777" w:rsidR="00C908AC" w:rsidRDefault="00C908AC" w:rsidP="00E07382">
      <w:r>
        <w:continuationSeparator/>
      </w:r>
    </w:p>
  </w:endnote>
  <w:endnote w:type="continuationNotice" w:id="1">
    <w:p w14:paraId="72E85F97" w14:textId="77777777" w:rsidR="00C908AC" w:rsidRDefault="00C90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B37DCB" w:rsidRDefault="5CD3DF3F" w:rsidP="5CD3DF3F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B37DCB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88D4" w14:textId="77777777" w:rsidR="00C908AC" w:rsidRDefault="00C908AC" w:rsidP="00E07382">
      <w:r>
        <w:separator/>
      </w:r>
    </w:p>
  </w:footnote>
  <w:footnote w:type="continuationSeparator" w:id="0">
    <w:p w14:paraId="17728EF6" w14:textId="77777777" w:rsidR="00C908AC" w:rsidRDefault="00C908AC" w:rsidP="00E07382">
      <w:r>
        <w:continuationSeparator/>
      </w:r>
    </w:p>
  </w:footnote>
  <w:footnote w:type="continuationNotice" w:id="1">
    <w:p w14:paraId="48557B9C" w14:textId="77777777" w:rsidR="00C908AC" w:rsidRDefault="00C90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69BB629F" w:rsidR="00051F5E" w:rsidRDefault="00B37DCB" w:rsidP="00B37DCB">
    <w:pPr>
      <w:pStyle w:val="Header"/>
      <w:jc w:val="center"/>
    </w:pPr>
    <w:r>
      <w:rPr>
        <w:noProof/>
      </w:rPr>
      <w:drawing>
        <wp:inline distT="0" distB="0" distL="0" distR="0" wp14:anchorId="54C36D10" wp14:editId="779ACBEB">
          <wp:extent cx="1828800" cy="935194"/>
          <wp:effectExtent l="0" t="0" r="0" b="5080"/>
          <wp:docPr id="1546016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16071" name="Picture 1546016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353" cy="9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1149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11A4B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4E79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DCB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08AC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14</cp:revision>
  <cp:lastPrinted>2011-11-21T12:20:00Z</cp:lastPrinted>
  <dcterms:created xsi:type="dcterms:W3CDTF">2024-01-02T15:44:00Z</dcterms:created>
  <dcterms:modified xsi:type="dcterms:W3CDTF">2026-04-11T16:19:00Z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